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台州技师学院202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年高层次人才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自主</w:t>
      </w:r>
      <w:r>
        <w:rPr>
          <w:rFonts w:hint="eastAsia" w:ascii="方正小标宋简体" w:eastAsia="方正小标宋简体"/>
          <w:sz w:val="44"/>
          <w:szCs w:val="44"/>
        </w:rPr>
        <w:t>招聘计</w:t>
      </w:r>
      <w:r>
        <w:rPr>
          <w:rFonts w:hint="default" w:ascii="方正小标宋简体" w:eastAsia="方正小标宋简体"/>
          <w:sz w:val="44"/>
          <w:szCs w:val="44"/>
        </w:rPr>
        <w:t>划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</w:t>
      </w:r>
    </w:p>
    <w:p>
      <w:pPr>
        <w:adjustRightInd w:val="0"/>
        <w:snapToGrid w:val="0"/>
        <w:spacing w:line="480" w:lineRule="exact"/>
        <w:rPr>
          <w:rFonts w:hint="eastAsia" w:ascii="黑体" w:hAnsi="黑体" w:eastAsia="黑体"/>
          <w:sz w:val="32"/>
          <w:szCs w:val="32"/>
        </w:rPr>
      </w:pPr>
    </w:p>
    <w:tbl>
      <w:tblPr>
        <w:tblStyle w:val="2"/>
        <w:tblW w:w="15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421"/>
        <w:gridCol w:w="630"/>
        <w:gridCol w:w="690"/>
        <w:gridCol w:w="660"/>
        <w:gridCol w:w="675"/>
        <w:gridCol w:w="4747"/>
        <w:gridCol w:w="2985"/>
        <w:gridCol w:w="930"/>
        <w:gridCol w:w="939"/>
        <w:gridCol w:w="677"/>
        <w:gridCol w:w="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lang w:bidi="ar"/>
              </w:rPr>
              <w:t>序号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lang w:bidi="ar"/>
              </w:rPr>
              <w:t>招聘岗位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lang w:bidi="ar"/>
              </w:rPr>
              <w:t>岗位类别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  <w:lang w:bidi="ar"/>
              </w:rPr>
              <w:t>招聘人数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学历要求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学位要求</w:t>
            </w:r>
          </w:p>
        </w:tc>
        <w:tc>
          <w:tcPr>
            <w:tcW w:w="474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专业要求</w:t>
            </w:r>
          </w:p>
        </w:tc>
        <w:tc>
          <w:tcPr>
            <w:tcW w:w="298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其他要求和有关说明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笔试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技能测试</w:t>
            </w: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面试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智能装备工学一体化教师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硕士研究生及以上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474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研究生专业：电气工程类、控制科学与工程类、仪器科学与技术类</w:t>
            </w:r>
          </w:p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根据条件放宽后本科专业：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电气类、自动化类、仪器类</w:t>
            </w:r>
          </w:p>
        </w:tc>
        <w:tc>
          <w:tcPr>
            <w:tcW w:w="298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1.具有2年相关岗位工作经验；</w:t>
            </w:r>
          </w:p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2.具有招聘岗位相关副高及以上职称的或高级技师的，学历放宽到本科，学位放宽到学士。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PLC</w:t>
            </w:r>
          </w:p>
          <w:p>
            <w:pPr>
              <w:widowControl/>
              <w:spacing w:after="62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试讲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40%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spacing w:after="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新能源汽车制造与装配工学一体化教师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bidi="ar"/>
                <w:woUserID w:val="1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bidi="ar"/>
                <w:woUserID w:val="1"/>
              </w:rPr>
              <w:t>1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硕士研究生及以上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474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研究生专业：交通运输、新能源汽车工程、车辆工程、机械电子工程、机械制造及其自动化、汽车电子工程、汽车运用工程、智能制造技术、智能交通与信息系统工程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根据条件放宽后本科专业：仪器类、能源动力类、电气类、电子信息类、自动化类、交通运输类、物联网工程</w:t>
            </w:r>
          </w:p>
        </w:tc>
        <w:tc>
          <w:tcPr>
            <w:tcW w:w="2985" w:type="dxa"/>
            <w:shd w:val="clear" w:color="auto" w:fill="FFFFFF"/>
            <w:noWrap w:val="0"/>
            <w:vAlign w:val="top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具有2年相关岗位工作经验；</w:t>
            </w:r>
          </w:p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2.具有招聘岗位相关副高及以上职称的或高级技师的，学历放宽到本科，学位放宽到学士。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电驱动总成检修 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试讲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40%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spacing w:after="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无人机应用技术工学一体化教师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硕士研究生及以上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474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研究生专业：航空宇航科学与技术类</w:t>
            </w:r>
          </w:p>
          <w:p>
            <w:pPr>
              <w:widowControl/>
              <w:spacing w:after="62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根据条件放宽后本科专业：航空航天类 </w:t>
            </w:r>
          </w:p>
        </w:tc>
        <w:tc>
          <w:tcPr>
            <w:tcW w:w="2985" w:type="dxa"/>
            <w:shd w:val="clear" w:color="auto" w:fill="FFFFFF"/>
            <w:noWrap w:val="0"/>
            <w:vAlign w:val="top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具有2年相关岗位工作经验；</w:t>
            </w:r>
          </w:p>
          <w:p>
            <w:pPr>
              <w:spacing w:after="62"/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2.具有招聘岗位相关副高及以上职称的或高级技师的，学历放宽到本科，学位放宽到学士。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无人机装调检修   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试讲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40%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spacing w:after="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数字化建造工学一体化教师（建筑设备方向)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硕士研究生及以上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4747" w:type="dxa"/>
            <w:shd w:val="clear" w:color="auto" w:fill="FFFFFF"/>
            <w:noWrap w:val="0"/>
            <w:vAlign w:val="top"/>
          </w:tcPr>
          <w:p>
            <w:pPr>
              <w:widowControl/>
              <w:spacing w:after="62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研究生专业：土木工程类、电气工程类、控制科学与工程类、信息与通信工程类、动力工程及工程热物理类、电子科学与技术类</w:t>
            </w:r>
          </w:p>
          <w:p>
            <w:pPr>
              <w:widowControl/>
              <w:spacing w:after="62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根据条件放宽后本科专业：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电气类、电子信息类、自动化类、土木类、建筑电气与智能化、电气工程及其自动化、电气工程与智能控制、物联网工程、智能科学与技术、智能感知工程</w:t>
            </w:r>
          </w:p>
        </w:tc>
        <w:tc>
          <w:tcPr>
            <w:tcW w:w="298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具有2年相关岗位工作经验；</w:t>
            </w:r>
          </w:p>
          <w:p>
            <w:pPr>
              <w:widowControl/>
              <w:spacing w:after="62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2.具有招聘岗位相关副高及以上职称的或高级技师的，学历放宽到本科，学位放宽到学士。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建筑电气与智能化工程识图</w:t>
            </w:r>
          </w:p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试讲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40%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spacing w:after="6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32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421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制药技术工学一体化教师</w:t>
            </w:r>
          </w:p>
        </w:tc>
        <w:tc>
          <w:tcPr>
            <w:tcW w:w="6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</w:p>
        </w:tc>
        <w:tc>
          <w:tcPr>
            <w:tcW w:w="69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6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硕士研究生及以上</w:t>
            </w:r>
          </w:p>
        </w:tc>
        <w:tc>
          <w:tcPr>
            <w:tcW w:w="67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硕士及以上</w:t>
            </w:r>
          </w:p>
        </w:tc>
        <w:tc>
          <w:tcPr>
            <w:tcW w:w="474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研究生专业：药学类、化学类、化学工程与技术类、生物工程类</w:t>
            </w:r>
          </w:p>
          <w:p>
            <w:pPr>
              <w:widowControl/>
              <w:spacing w:after="62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根据条件放宽后本科专业：药学类、化学类、生物工程类</w:t>
            </w:r>
          </w:p>
        </w:tc>
        <w:tc>
          <w:tcPr>
            <w:tcW w:w="2985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具有2年相关岗位工作经验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；</w:t>
            </w:r>
          </w:p>
          <w:p>
            <w:pPr>
              <w:widowControl/>
              <w:spacing w:after="62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具有招聘岗位相关副高及以上职称的或高级技师的，学历放宽到本科，学位放宽到学士。</w:t>
            </w:r>
          </w:p>
        </w:tc>
        <w:tc>
          <w:tcPr>
            <w:tcW w:w="930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药品生产单元操作</w:t>
            </w:r>
          </w:p>
          <w:p>
            <w:pPr>
              <w:widowControl/>
              <w:spacing w:after="62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30%</w:t>
            </w:r>
          </w:p>
        </w:tc>
        <w:tc>
          <w:tcPr>
            <w:tcW w:w="677" w:type="dxa"/>
            <w:shd w:val="clear" w:color="auto" w:fill="FFFFFF"/>
            <w:noWrap w:val="0"/>
            <w:vAlign w:val="center"/>
          </w:tcPr>
          <w:p>
            <w:pPr>
              <w:widowControl/>
              <w:spacing w:after="62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试讲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40%</w:t>
            </w:r>
          </w:p>
        </w:tc>
        <w:tc>
          <w:tcPr>
            <w:tcW w:w="533" w:type="dxa"/>
            <w:shd w:val="clear" w:color="auto" w:fill="FFFFFF"/>
            <w:noWrap w:val="0"/>
            <w:vAlign w:val="center"/>
          </w:tcPr>
          <w:p>
            <w:pPr>
              <w:spacing w:after="6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4692B"/>
    <w:rsid w:val="4D94692B"/>
    <w:rsid w:val="68BB7E7E"/>
    <w:rsid w:val="CADBB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b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979</Words>
  <Characters>1024</Characters>
  <Lines>0</Lines>
  <Paragraphs>0</Paragraphs>
  <TotalTime>0</TotalTime>
  <ScaleCrop>false</ScaleCrop>
  <LinksUpToDate>false</LinksUpToDate>
  <CharactersWithSpaces>1031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2026-06-23T15:34:00Z</dcterms:created>
  <dc:creator>臭小子</dc:creator>
  <cp:lastModifiedBy>臭小子</cp:lastModifiedBy>
  <dcterms:modified xsi:type="dcterms:W3CDTF">2026-07-07T15:05:56Z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4ADE907E93B447AFB3D9E2D6C9078A7A_11</vt:lpwstr>
  </property>
  <property fmtid="{D5CDD505-2E9C-101B-9397-08002B2CF9AE}" pid="4" name="KSOTemplateDocerSaveRecord">
    <vt:lpwstr>eyJoZGlkIjoiNDdiY2ZjZDJiYTRiYWVjZTlkZDc1ZDc4ZWYyMTFlYjAiLCJ1c2VySWQiOiIzNTQwNTM5MDEifQ==</vt:lpwstr>
  </property>
</Properties>
</file>